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26C21" w14:textId="77777777" w:rsidR="00E95C82" w:rsidRDefault="00E95C82" w:rsidP="00E95C82">
      <w:pPr>
        <w:ind w:left="12191"/>
        <w:rPr>
          <w:rFonts w:ascii="Times New Roman" w:hAnsi="Times New Roman"/>
          <w:sz w:val="20"/>
        </w:rPr>
      </w:pPr>
    </w:p>
    <w:tbl>
      <w:tblPr>
        <w:tblW w:w="31592" w:type="dxa"/>
        <w:tblInd w:w="-176" w:type="dxa"/>
        <w:tblLook w:val="04A0" w:firstRow="1" w:lastRow="0" w:firstColumn="1" w:lastColumn="0" w:noHBand="0" w:noVBand="1"/>
      </w:tblPr>
      <w:tblGrid>
        <w:gridCol w:w="31592"/>
      </w:tblGrid>
      <w:tr w:rsidR="00E95C82" w:rsidRPr="0068414B" w14:paraId="7B1427F3" w14:textId="77777777" w:rsidTr="00186F82">
        <w:trPr>
          <w:trHeight w:val="292"/>
        </w:trPr>
        <w:tc>
          <w:tcPr>
            <w:tcW w:w="31592" w:type="dxa"/>
            <w:shd w:val="clear" w:color="000000" w:fill="FFFFFF"/>
            <w:noWrap/>
            <w:vAlign w:val="center"/>
            <w:hideMark/>
          </w:tcPr>
          <w:p w14:paraId="672B16BC" w14:textId="10154807" w:rsidR="00E95C82" w:rsidRPr="0068414B" w:rsidRDefault="00E95C82" w:rsidP="00186F82">
            <w:pPr>
              <w:ind w:firstLine="669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95C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САУДА-САТТЫҚ ТУРАЛЫ ХАБАРЛАМА</w:t>
            </w:r>
          </w:p>
        </w:tc>
      </w:tr>
      <w:tr w:rsidR="00E95C82" w:rsidRPr="009E4526" w14:paraId="1825B94C" w14:textId="77777777" w:rsidTr="00186F82">
        <w:trPr>
          <w:trHeight w:val="80"/>
        </w:trPr>
        <w:tc>
          <w:tcPr>
            <w:tcW w:w="31592" w:type="dxa"/>
            <w:vAlign w:val="center"/>
            <w:hideMark/>
          </w:tcPr>
          <w:tbl>
            <w:tblPr>
              <w:tblW w:w="19301" w:type="dxa"/>
              <w:tblInd w:w="326" w:type="dxa"/>
              <w:tblLook w:val="04A0" w:firstRow="1" w:lastRow="0" w:firstColumn="1" w:lastColumn="0" w:noHBand="0" w:noVBand="1"/>
            </w:tblPr>
            <w:tblGrid>
              <w:gridCol w:w="16159"/>
              <w:gridCol w:w="231"/>
              <w:gridCol w:w="232"/>
              <w:gridCol w:w="400"/>
              <w:gridCol w:w="305"/>
              <w:gridCol w:w="492"/>
              <w:gridCol w:w="741"/>
              <w:gridCol w:w="741"/>
            </w:tblGrid>
            <w:tr w:rsidR="00E95C82" w:rsidRPr="009E4526" w14:paraId="7F75931E" w14:textId="77777777" w:rsidTr="00186F82">
              <w:trPr>
                <w:trHeight w:val="2409"/>
              </w:trPr>
              <w:tc>
                <w:tcPr>
                  <w:tcW w:w="161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4D8691" w14:textId="1070A956" w:rsidR="00E95C82" w:rsidRPr="009E4526" w:rsidRDefault="0012661D" w:rsidP="00186F82">
                  <w:pPr>
                    <w:tabs>
                      <w:tab w:val="left" w:pos="15229"/>
                    </w:tabs>
                    <w:ind w:right="696" w:firstLine="708"/>
                    <w:jc w:val="both"/>
                    <w:rPr>
                      <w:rFonts w:ascii="Times New Roman" w:hAnsi="Times New Roman"/>
                      <w:color w:val="222222"/>
                      <w:sz w:val="20"/>
                    </w:rPr>
                  </w:pPr>
                  <w:r w:rsidRPr="0012661D">
                    <w:rPr>
                      <w:rFonts w:ascii="Times New Roman" w:hAnsi="Times New Roman"/>
                      <w:color w:val="222222"/>
                      <w:sz w:val="20"/>
                    </w:rPr>
                    <w:t>«Қазтеміртранс» акционерлік қоғамы 2026 жылғы 11 ақпанда сағат 10: 00-ден 17: 00-ге дейін (Астана уақыты бойынша) Мемлекеттік мүлік тізілімінің www.e-qazyna.kz веб-порталында өтетін Қоғам меншігінің металл сынығын сату бойынша электрондық конкурс өткіз</w:t>
                  </w:r>
                  <w:r w:rsidR="006C175D">
                    <w:rPr>
                      <w:rFonts w:ascii="Times New Roman" w:hAnsi="Times New Roman"/>
                      <w:color w:val="222222"/>
                      <w:sz w:val="20"/>
                      <w:lang w:val="kk-KZ"/>
                    </w:rPr>
                    <w:t>ілетіні</w:t>
                  </w:r>
                  <w:r w:rsidRPr="0012661D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 туралы хабарлайды.</w:t>
                  </w:r>
                </w:p>
                <w:p w14:paraId="6C305B17" w14:textId="454A5AD6" w:rsidR="00E95C82" w:rsidRDefault="005A5D7A" w:rsidP="00186F82">
                  <w:pPr>
                    <w:tabs>
                      <w:tab w:val="left" w:pos="15229"/>
                    </w:tabs>
                    <w:ind w:right="696" w:firstLine="708"/>
                    <w:jc w:val="both"/>
                    <w:rPr>
                      <w:rFonts w:ascii="Times New Roman" w:hAnsi="Times New Roman"/>
                      <w:color w:val="222222"/>
                      <w:sz w:val="20"/>
                    </w:rPr>
                  </w:pPr>
                  <w:r w:rsidRPr="005A5D7A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Металл сынықтарын сату </w:t>
                  </w:r>
                  <w:r w:rsidR="000D203C" w:rsidRPr="005A5D7A">
                    <w:rPr>
                      <w:rFonts w:ascii="Times New Roman" w:hAnsi="Times New Roman"/>
                      <w:color w:val="222222"/>
                      <w:sz w:val="20"/>
                    </w:rPr>
                    <w:t>«Қазақстан темір жолы «ұлттық компаниясы» акционерлік қоғамы Басқармасының шешімімен бекітілген «Қазақстан темір жолы «ұлттық компаниясы» акционерлік қоғамы және оның еншілес ұйымдары (2017 жылғы 2 наурыздағы № 02/7 хаттама)</w:t>
                  </w:r>
                  <w:r w:rsidR="000D203C" w:rsidRPr="000D203C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 </w:t>
                  </w:r>
                  <w:r w:rsidRPr="005A5D7A">
                    <w:rPr>
                      <w:rFonts w:ascii="Times New Roman" w:hAnsi="Times New Roman"/>
                      <w:color w:val="222222"/>
                      <w:sz w:val="20"/>
                    </w:rPr>
                    <w:t>Металл сынықтары мен өтiмдi емес тауар-материалдық қорларды сатудың бiрыңғай ережелерiне және «Ақпараттық-есепке алу орталығы» АҚ Директорлар кеңесінің шешімімен бекітілген Мемлекеттік мүлік тізілімінің веб-порталында мүлікті сату бойынша электрондық сауда-саттық жүргізу регламентімен (2014 жылғы 23 мамырдағы № 66 хаттама)</w:t>
                  </w:r>
                  <w:r w:rsidR="00287C49">
                    <w:rPr>
                      <w:rFonts w:ascii="Times New Roman" w:hAnsi="Times New Roman"/>
                      <w:color w:val="222222"/>
                      <w:sz w:val="20"/>
                      <w:lang w:val="kk-KZ"/>
                    </w:rPr>
                    <w:t xml:space="preserve"> </w:t>
                  </w:r>
                  <w:r w:rsidR="00287C49" w:rsidRPr="005A5D7A">
                    <w:rPr>
                      <w:rFonts w:ascii="Times New Roman" w:hAnsi="Times New Roman"/>
                      <w:color w:val="222222"/>
                      <w:sz w:val="20"/>
                    </w:rPr>
                    <w:t>сәйкес жүзеге асырылады</w:t>
                  </w:r>
                  <w:r w:rsidRPr="005A5D7A">
                    <w:rPr>
                      <w:rFonts w:ascii="Times New Roman" w:hAnsi="Times New Roman"/>
                      <w:color w:val="222222"/>
                      <w:sz w:val="20"/>
                    </w:rPr>
                    <w:t>.</w:t>
                  </w:r>
                </w:p>
                <w:p w14:paraId="05ECAEBD" w14:textId="77777777" w:rsidR="00345BC0" w:rsidRPr="005A5D7A" w:rsidRDefault="00345BC0" w:rsidP="00186F82">
                  <w:pPr>
                    <w:tabs>
                      <w:tab w:val="left" w:pos="15229"/>
                    </w:tabs>
                    <w:ind w:right="696" w:firstLine="708"/>
                    <w:jc w:val="both"/>
                    <w:rPr>
                      <w:rFonts w:ascii="Times New Roman" w:hAnsi="Times New Roman"/>
                      <w:color w:val="222222"/>
                      <w:sz w:val="20"/>
                    </w:rPr>
                  </w:pPr>
                </w:p>
                <w:p w14:paraId="6A46A3C8" w14:textId="508B920B" w:rsidR="00345BC0" w:rsidRPr="009E4526" w:rsidRDefault="00345BC0" w:rsidP="00345BC0">
                  <w:pPr>
                    <w:ind w:firstLine="900"/>
                    <w:jc w:val="center"/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</w:pPr>
                  <w:r w:rsidRPr="00345BC0"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  <w:t xml:space="preserve">Электрондық конкурсқа Қоғам меншігінің </w:t>
                  </w:r>
                  <w:r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  <w:t>М</w:t>
                  </w:r>
                  <w:r w:rsidRPr="00345BC0"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  <w:t>еталл сынығы мынадай көлемде және шарттармен шығарылады</w:t>
                  </w:r>
                </w:p>
                <w:tbl>
                  <w:tblPr>
                    <w:tblW w:w="15346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627"/>
                    <w:gridCol w:w="2322"/>
                    <w:gridCol w:w="1850"/>
                    <w:gridCol w:w="1515"/>
                    <w:gridCol w:w="1515"/>
                    <w:gridCol w:w="1886"/>
                    <w:gridCol w:w="5631"/>
                  </w:tblGrid>
                  <w:tr w:rsidR="00E95C82" w:rsidRPr="009E4526" w14:paraId="41405DFA" w14:textId="77777777" w:rsidTr="00345BC0">
                    <w:tc>
                      <w:tcPr>
                        <w:tcW w:w="6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3AE2A6D" w14:textId="096BE403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лот</w:t>
                        </w:r>
                        <w:r w:rsidR="00345BC0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№</w:t>
                        </w: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B9E7D47" w14:textId="2E33D5BB" w:rsidR="00E95C82" w:rsidRPr="009E4526" w:rsidRDefault="00345BC0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Металл сыны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lang w:val="kk-KZ"/>
                          </w:rPr>
                          <w:t>ғының к</w:t>
                        </w:r>
                        <w:r w:rsidR="00E95C82"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атегория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lang w:val="kk-KZ"/>
                          </w:rPr>
                          <w:t>сы</w:t>
                        </w:r>
                        <w:r w:rsidR="00E95C82"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A38D2EC" w14:textId="7D0D3B03" w:rsidR="00E95C82" w:rsidRPr="009E4526" w:rsidRDefault="00345BC0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Металл сыны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lang w:val="kk-KZ"/>
                          </w:rPr>
                          <w:t>ғының орналасқан жері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100A889" w14:textId="479CAF4D" w:rsidR="00E95C82" w:rsidRPr="009E4526" w:rsidRDefault="00345BC0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Металл сыны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lang w:val="kk-KZ"/>
                          </w:rPr>
                          <w:t>ғының салмағы</w:t>
                        </w:r>
                        <w:r w:rsidR="00E95C82"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, тн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14E72E6" w14:textId="3D9AD567" w:rsidR="00E95C82" w:rsidRPr="009E4526" w:rsidRDefault="00293749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Металл сыны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lang w:val="kk-KZ"/>
                          </w:rPr>
                          <w:t>ғының бастапқы және старттық бағасы</w:t>
                        </w:r>
                        <w:r w:rsidR="00E95C82"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, тенге</w:t>
                        </w:r>
                      </w:p>
                    </w:tc>
                    <w:tc>
                      <w:tcPr>
                        <w:tcW w:w="188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AB4FC8" w14:textId="2DE2C157" w:rsidR="00293749" w:rsidRPr="00293749" w:rsidRDefault="00293749" w:rsidP="00293749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lang w:val="kk-KZ"/>
                          </w:rPr>
                        </w:pPr>
                        <w:r w:rsidRPr="00293749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Кепілдік </w:t>
                        </w:r>
                      </w:p>
                      <w:p w14:paraId="41DFCEAC" w14:textId="77FB6587" w:rsidR="00E95C82" w:rsidRPr="009E4526" w:rsidRDefault="00293749" w:rsidP="00293749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293749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 жарна</w:t>
                        </w:r>
                        <w:r w:rsidR="00E95C82"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, тенге</w:t>
                        </w:r>
                      </w:p>
                    </w:tc>
                    <w:tc>
                      <w:tcPr>
                        <w:tcW w:w="56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890ACC1" w14:textId="236E9662" w:rsidR="00E95C82" w:rsidRPr="009E4526" w:rsidRDefault="00243794" w:rsidP="0024379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243794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Металл сынықтарын сату кезіндегі Сатып алушының есебінен шарттар мен шығыстар</w:t>
                        </w:r>
                      </w:p>
                    </w:tc>
                  </w:tr>
                  <w:tr w:rsidR="00E95C82" w:rsidRPr="009E4526" w14:paraId="5D7441CE" w14:textId="77777777" w:rsidTr="00345BC0">
                    <w:trPr>
                      <w:trHeight w:val="1136"/>
                    </w:trPr>
                    <w:tc>
                      <w:tcPr>
                        <w:tcW w:w="6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D620EF1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E42C90" w14:textId="6534C14D" w:rsidR="00E95C82" w:rsidRPr="009E4526" w:rsidRDefault="000F7A83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0F7A83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5А»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 xml:space="preserve"> </w:t>
                        </w:r>
                        <w:r w:rsidRPr="000F7A83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сыныпты металл сынықтары</w:t>
                        </w:r>
                      </w:p>
                    </w:tc>
                    <w:tc>
                      <w:tcPr>
                        <w:tcW w:w="1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D8E5133" w14:textId="04A48C56" w:rsidR="00E95C82" w:rsidRPr="009E4526" w:rsidRDefault="00486181" w:rsidP="00186F82">
                        <w:pPr>
                          <w:tabs>
                            <w:tab w:val="left" w:pos="15229"/>
                          </w:tabs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Қ</w:t>
                        </w:r>
                        <w:r w:rsidRPr="00486181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азақстан Республикасы (вагон жөндеу кәсіпорындары, жүк вагондарын бөлу пункттері, «Қазтеміртранс» АҚ өндірістік базалары, станциялық және өзге де жолдар)</w:t>
                        </w:r>
                      </w:p>
                    </w:tc>
                    <w:tc>
                      <w:tcPr>
                        <w:tcW w:w="1515" w:type="dxa"/>
                        <w:vAlign w:val="center"/>
                      </w:tcPr>
                      <w:p w14:paraId="07CDF6E9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5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151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385F2FC" w14:textId="77777777" w:rsidR="00E95C82" w:rsidRPr="009E4526" w:rsidRDefault="00E95C82" w:rsidP="00186F82">
                        <w:pPr>
                          <w:tabs>
                            <w:tab w:val="left" w:pos="15229"/>
                          </w:tabs>
                          <w:ind w:right="3" w:firstLine="6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222222"/>
                            <w:sz w:val="20"/>
                          </w:rPr>
                          <w:t>862 586 146</w:t>
                        </w:r>
                      </w:p>
                    </w:tc>
                    <w:tc>
                      <w:tcPr>
                        <w:tcW w:w="188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4C752B6" w14:textId="77777777" w:rsidR="00E95C82" w:rsidRPr="009E4526" w:rsidRDefault="00E95C82" w:rsidP="00E95C82">
                        <w:pPr>
                          <w:numPr>
                            <w:ilvl w:val="0"/>
                            <w:numId w:val="2"/>
                          </w:num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387 922</w:t>
                        </w:r>
                      </w:p>
                    </w:tc>
                    <w:tc>
                      <w:tcPr>
                        <w:tcW w:w="563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BCED8E" w14:textId="3DAA5604" w:rsidR="00E95C82" w:rsidRPr="009E4526" w:rsidRDefault="009E3FA6" w:rsidP="00186F82">
                        <w:pPr>
                          <w:pStyle w:val="Default"/>
                          <w:tabs>
                            <w:tab w:val="left" w:pos="552"/>
                            <w:tab w:val="left" w:pos="1134"/>
                          </w:tabs>
                          <w:ind w:left="180"/>
                          <w:jc w:val="both"/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</w:pPr>
                        <w:r w:rsidRPr="009E3FA6"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  <w:t>Сауда-саттыққа қатысушыларға қойылатын талаптар:</w:t>
                        </w:r>
                      </w:p>
                      <w:p w14:paraId="68F9446D" w14:textId="736B1FCA" w:rsidR="00E95C82" w:rsidRPr="00582F56" w:rsidRDefault="009E3FA6" w:rsidP="00E95C82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  <w:tab w:val="left" w:pos="552"/>
                            <w:tab w:val="left" w:pos="1134"/>
                          </w:tabs>
                          <w:ind w:left="34" w:firstLine="142"/>
                          <w:jc w:val="both"/>
                          <w:rPr>
                            <w:sz w:val="20"/>
                          </w:rPr>
                        </w:pPr>
                        <w:r w:rsidRPr="009E3FA6">
                          <w:rPr>
                            <w:color w:val="auto"/>
                            <w:sz w:val="20"/>
                            <w:szCs w:val="20"/>
                          </w:rPr>
                          <w:t xml:space="preserve">Электрондық сауда-саттыққа қатысуға өтінім құрамында белгіленген талаптарға сәйкестігін растайтын құжаттарды ұсынған қатысушылар жіберіледі, оның ішінде:                                    -«Рұқсаттар және хабарламалар туралы» 2014 жылғы 16 мамырдағы № 202-V Қазақстан Республикасының Заңына сәйкес заңды тұлғалардың түсті және қара металл сынықтары мен қалдықтарын жинау (дайындау), сақтау, қайта өңдеу және өткізу жөніндегі қызметті жүзеге асыруына рұқсат беру құжаты;                                                                                           </w:t>
                        </w:r>
                        <w:r w:rsidRPr="009E3FA6">
                          <w:rPr>
                            <w:sz w:val="20"/>
                          </w:rPr>
                          <w:t xml:space="preserve">                                 -қара металдардың сынықтары мен қалдықтарын өткізу туралы шарт жасасқаннан кейін қолданысы Қазақстан Республикасының әртүрлі бағыттарында (оңтүстік, солтүстік, шығыс, батыс өңірлер) орналасқан кемінде 1 (бір) жыл 6 (алты) айды құрауы тиіс меншік құқығындағы не ұзақ мерзімді жалдау құқығындағы</w:t>
                        </w:r>
                        <w:r w:rsidR="00B47F6D">
                          <w:rPr>
                            <w:sz w:val="20"/>
                          </w:rPr>
                          <w:t>,</w:t>
                        </w:r>
                        <w:r w:rsidR="00B47F6D">
                          <w:t xml:space="preserve"> </w:t>
                        </w:r>
                        <w:r w:rsidR="00B47F6D" w:rsidRPr="00B47F6D">
                          <w:rPr>
                            <w:sz w:val="20"/>
                          </w:rPr>
                          <w:t>сыйымдылығы 174 жүк вагондарынан кем емес</w:t>
                        </w:r>
                        <w:r w:rsidRPr="009E3FA6">
                          <w:rPr>
                            <w:sz w:val="20"/>
                          </w:rPr>
                          <w:t xml:space="preserve"> кірме жолдардың болуын растайтын құжаттар.</w:t>
                        </w:r>
                        <w:r w:rsidR="00E95C82" w:rsidRPr="009E3FA6">
                          <w:rPr>
                            <w:sz w:val="20"/>
                          </w:rPr>
                          <w:t xml:space="preserve"> </w:t>
                        </w:r>
                        <w:r w:rsidRPr="009E3FA6">
                          <w:rPr>
                            <w:sz w:val="20"/>
                          </w:rPr>
                          <w:t xml:space="preserve">                                                                                                                          </w:t>
                        </w:r>
                        <w:r w:rsidRPr="00582F56">
                          <w:rPr>
                            <w:sz w:val="20"/>
                          </w:rPr>
                          <w:t>-</w:t>
                        </w:r>
                        <w:r w:rsidRPr="009E3FA6">
                          <w:rPr>
                            <w:sz w:val="20"/>
                          </w:rPr>
                          <w:t>Қатысушылардың сауда-саттыққа қатысу үшін «Ақпараттық-есепке алу орталығы» АҚ есеп шотына енгізетін кепілдік жарнасының мөлшері Металлоломның бастапқы және бастапқы бағасының 15% -ын құрайды.</w:t>
                        </w:r>
                        <w:r w:rsidR="00E95C82" w:rsidRPr="009E3FA6">
                          <w:rPr>
                            <w:sz w:val="20"/>
                          </w:rPr>
                          <w:t xml:space="preserve"> </w:t>
                        </w:r>
                      </w:p>
                      <w:p w14:paraId="5E9D90CF" w14:textId="77777777" w:rsidR="00582F56" w:rsidRPr="009E3FA6" w:rsidRDefault="00582F56" w:rsidP="00582F56">
                        <w:pPr>
                          <w:pStyle w:val="Default"/>
                          <w:tabs>
                            <w:tab w:val="left" w:pos="142"/>
                            <w:tab w:val="left" w:pos="334"/>
                            <w:tab w:val="left" w:pos="552"/>
                            <w:tab w:val="left" w:pos="1134"/>
                          </w:tabs>
                          <w:ind w:left="176"/>
                          <w:jc w:val="both"/>
                          <w:rPr>
                            <w:sz w:val="20"/>
                          </w:rPr>
                        </w:pPr>
                      </w:p>
                      <w:p w14:paraId="3DC30455" w14:textId="18A409AF" w:rsidR="00E95C82" w:rsidRPr="009E4526" w:rsidRDefault="001A5C56" w:rsidP="00186F82">
                        <w:pPr>
                          <w:tabs>
                            <w:tab w:val="left" w:pos="142"/>
                            <w:tab w:val="left" w:pos="334"/>
                          </w:tabs>
                          <w:ind w:left="176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20"/>
                          </w:rPr>
                        </w:pPr>
                        <w:r w:rsidRPr="001A5C56"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20"/>
                          </w:rPr>
                          <w:lastRenderedPageBreak/>
                          <w:t>Шарттың негізгі талаптары:</w:t>
                        </w:r>
                      </w:p>
                      <w:p w14:paraId="7D89F895" w14:textId="18B54FDD" w:rsidR="00E95C82" w:rsidRPr="009E4526" w:rsidRDefault="001A5C56" w:rsidP="00E95C8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142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A5C56">
                          <w:rPr>
                            <w:rFonts w:ascii="Times New Roman" w:hAnsi="Times New Roman"/>
                            <w:sz w:val="20"/>
                          </w:rPr>
                          <w:t>Сатып алушы шартқа қол қойылғаннан кейін 15 жұмыс күні ішінде оның құнының 3% -ы мөлшерінде қамтамасыз етуді енгізуге міндетті, көрсетілген соманы Сатып алушы міндеттемелерін толық орындағанға дейін Сатушы ұстап қалады және олар орындалғаннан кейін қайтарылады.</w:t>
                        </w:r>
                      </w:p>
                      <w:p w14:paraId="311265D0" w14:textId="504EA7D8" w:rsidR="00E95C82" w:rsidRPr="009E4526" w:rsidRDefault="001A5C56" w:rsidP="00E95C8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142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A5C56">
                          <w:rPr>
                            <w:rFonts w:ascii="Times New Roman" w:hAnsi="Times New Roman"/>
                            <w:sz w:val="20"/>
                          </w:rPr>
                          <w:t xml:space="preserve">Сатып алушы шот берілген күннен бастап 5 банктік күн ішінде Металлолом партиясы үшін ұсынылған шот бойынша 100% мөлшерінде алдын ала төлем жасайды. Егер Сатып алушы Шарттың орындалуын қамтамасыз етуді мерзімінде ұсынбаса, онда Сатушы осы Шартты біржақты тәртіппен бұзады және Сатып алушы сауда-саттыққа қатысу үшін енгізген кепілдік жарнаның сомасы ұсталады </w:t>
                        </w:r>
                      </w:p>
                      <w:p w14:paraId="29D8B5CE" w14:textId="3F61292D" w:rsidR="00E95C82" w:rsidRPr="001D5F6D" w:rsidRDefault="00526D58" w:rsidP="00E95C8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64" w:hanging="13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526D58">
                          <w:rPr>
                            <w:rFonts w:ascii="Times New Roman" w:hAnsi="Times New Roman"/>
                            <w:sz w:val="20"/>
                          </w:rPr>
                          <w:t>Металл сынықтарын жеткізу шарттары - Сатып алушының өздігінен тасып әкету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;</w:t>
                        </w:r>
                      </w:p>
                      <w:p w14:paraId="79C3601F" w14:textId="73488DDE" w:rsidR="00E95C82" w:rsidRPr="009E4526" w:rsidRDefault="00526D58" w:rsidP="00E95C8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64" w:hanging="13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526D58">
                          <w:rPr>
                            <w:rFonts w:ascii="Times New Roman" w:hAnsi="Times New Roman"/>
                            <w:sz w:val="20"/>
                          </w:rPr>
                          <w:t xml:space="preserve">Шарт жасалған күнге дейін </w:t>
                        </w:r>
                        <w:r w:rsidR="00A72F32">
                          <w:rPr>
                            <w:rFonts w:ascii="Times New Roman" w:hAnsi="Times New Roman"/>
                            <w:sz w:val="20"/>
                            <w:lang w:val="kk-KZ"/>
                          </w:rPr>
                          <w:t xml:space="preserve">есептен </w:t>
                        </w:r>
                        <w:r w:rsidRPr="00526D58">
                          <w:rPr>
                            <w:rFonts w:ascii="Times New Roman" w:hAnsi="Times New Roman"/>
                            <w:sz w:val="20"/>
                          </w:rPr>
                          <w:t xml:space="preserve">шығарылған, </w:t>
                        </w:r>
                        <w:r w:rsidR="0025157B">
                          <w:rPr>
                            <w:rFonts w:ascii="Times New Roman" w:hAnsi="Times New Roman"/>
                            <w:sz w:val="20"/>
                          </w:rPr>
                          <w:t>б</w:t>
                        </w:r>
                        <w:r w:rsidR="0025157B">
                          <w:rPr>
                            <w:rFonts w:ascii="Times New Roman" w:hAnsi="Times New Roman"/>
                            <w:sz w:val="20"/>
                            <w:lang w:val="kk-KZ"/>
                          </w:rPr>
                          <w:t>үлінген</w:t>
                        </w:r>
                        <w:r w:rsidRPr="00526D58">
                          <w:rPr>
                            <w:rFonts w:ascii="Times New Roman" w:hAnsi="Times New Roman"/>
                            <w:sz w:val="20"/>
                          </w:rPr>
                          <w:t xml:space="preserve">, </w:t>
                        </w:r>
                        <w:r w:rsidR="00A72F32">
                          <w:rPr>
                            <w:rFonts w:ascii="Times New Roman" w:hAnsi="Times New Roman"/>
                            <w:sz w:val="20"/>
                            <w:lang w:val="kk-KZ"/>
                          </w:rPr>
                          <w:t xml:space="preserve">бөлшектері шешілген </w:t>
                        </w:r>
                        <w:r w:rsidRPr="00526D58">
                          <w:rPr>
                            <w:rFonts w:ascii="Times New Roman" w:hAnsi="Times New Roman"/>
                            <w:sz w:val="20"/>
                          </w:rPr>
                          <w:t>вагондарды Сатып алушының бөлу пункттеріне тасымалдау Сатып алушының күшімен және есебінен, оның ішінде вагонды жинақтау (көліктік жағдайға келтіру), темір жол тарифі және басқа да ілеспе шығыстар арқылы жүзеге асырылады.</w:t>
                        </w:r>
                      </w:p>
                      <w:p w14:paraId="574B7F9E" w14:textId="7FC7F422" w:rsidR="00E95C82" w:rsidRPr="009E4526" w:rsidRDefault="00222118" w:rsidP="00186F82">
                        <w:pPr>
                          <w:pStyle w:val="Default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222118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Сатып алушы</w:t>
                        </w:r>
                        <w:r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kk-KZ"/>
                          </w:rPr>
                          <w:t>да болу ке</w:t>
                        </w:r>
                        <w:r w:rsidR="00780C96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kk-KZ"/>
                          </w:rPr>
                          <w:t>рек</w:t>
                        </w:r>
                        <w:r w:rsidR="00E95C82" w:rsidRPr="009E4526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: </w:t>
                        </w:r>
                      </w:p>
                      <w:p w14:paraId="066BC212" w14:textId="32EA6D92" w:rsidR="00E95C82" w:rsidRPr="009E4526" w:rsidRDefault="00E95C82" w:rsidP="00186F82">
                        <w:pPr>
                          <w:pStyle w:val="Default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 xml:space="preserve">- </w:t>
                        </w:r>
                        <w:r w:rsidR="00222118" w:rsidRPr="00222118">
                          <w:rPr>
                            <w:sz w:val="20"/>
                            <w:szCs w:val="20"/>
                          </w:rPr>
                          <w:t>қара металдардың сынықтары мен қалдықтарын өткізу туралы шарт жасасқаннан кейін қолданылу мерзімі кемінде 1 (бір) жыл 6 (алты) айды құрауға тиіс меншік құқығында не ұзақ мерзімді жалдау құқығында тиесілі кірме жолдар. Кірме жолдардың орналасуы Қазақстан Республикасының әртүрлі бағыттарында (оңтүстік, солтүстік, шығыс, батыс өңірлер) болуы тиіс;</w:t>
                        </w:r>
                        <w:r w:rsidRPr="009E452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F00CEB4" w14:textId="74A0B305" w:rsidR="00E95C82" w:rsidRPr="009E4526" w:rsidRDefault="00E95C82" w:rsidP="00186F82">
                        <w:pPr>
                          <w:pStyle w:val="Default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>-</w:t>
                        </w:r>
                        <w:r w:rsidR="00222118">
                          <w:t xml:space="preserve"> </w:t>
                        </w:r>
                        <w:r w:rsidR="00222118" w:rsidRPr="00222118">
                          <w:rPr>
                            <w:sz w:val="20"/>
                            <w:szCs w:val="20"/>
                          </w:rPr>
                          <w:t>барлық нормативтік-техникалық құжаттарға сәйкес келетін жүк вагондарын бөлу жөніндегі жұмыстарды ұйымдастыруға арналған</w:t>
                        </w:r>
                        <w:r w:rsidR="00222118">
                          <w:rPr>
                            <w:sz w:val="20"/>
                            <w:szCs w:val="20"/>
                            <w:lang w:val="kk-KZ"/>
                          </w:rPr>
                          <w:t xml:space="preserve"> алаң</w:t>
                        </w:r>
                        <w:r w:rsidRPr="009E4526">
                          <w:rPr>
                            <w:sz w:val="20"/>
                            <w:szCs w:val="20"/>
                          </w:rPr>
                          <w:t xml:space="preserve">; </w:t>
                        </w:r>
                      </w:p>
                      <w:p w14:paraId="0D06C901" w14:textId="22155574" w:rsidR="00E95C82" w:rsidRPr="009E4526" w:rsidRDefault="00E95C82" w:rsidP="00186F82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>-</w:t>
                        </w:r>
                        <w:r w:rsidR="00222118">
                          <w:t xml:space="preserve"> </w:t>
                        </w:r>
                        <w:r w:rsidR="00222118" w:rsidRPr="00222118">
                          <w:rPr>
                            <w:sz w:val="20"/>
                            <w:szCs w:val="20"/>
                          </w:rPr>
                          <w:t>қайтарылатын қосалқы бөлшектерді, тораптар мен бөлшектерді сақтауға арналған жеке күзетілетін алаң</w:t>
                        </w:r>
                        <w:r w:rsidRPr="009E4526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</w:p>
                      <w:p w14:paraId="5859D758" w14:textId="00D241F3" w:rsidR="00E95C82" w:rsidRPr="009E4526" w:rsidRDefault="00222118" w:rsidP="00186F82">
                        <w:pPr>
                          <w:pStyle w:val="Default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222118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Сатып алушы өз күшімен және өз есебінен</w:t>
                        </w:r>
                        <w:r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kk-KZ"/>
                          </w:rPr>
                          <w:t xml:space="preserve"> </w:t>
                        </w:r>
                        <w:r w:rsidRPr="00222118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kk-KZ"/>
                          </w:rPr>
                          <w:t>міндеттеме алады</w:t>
                        </w:r>
                        <w:r w:rsidR="00E95C82" w:rsidRPr="009E4526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: </w:t>
                        </w:r>
                      </w:p>
                      <w:p w14:paraId="09A73CB7" w14:textId="3F939D56" w:rsidR="00E95C82" w:rsidRPr="009E4526" w:rsidRDefault="00E95C82" w:rsidP="00186F82">
                        <w:pPr>
                          <w:ind w:right="-30" w:firstLine="38"/>
                          <w:contextualSpacing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sz w:val="20"/>
                          </w:rPr>
                          <w:t xml:space="preserve">- </w:t>
                        </w:r>
                        <w:r w:rsidR="00C2038C" w:rsidRPr="00C2038C">
                          <w:rPr>
                            <w:rFonts w:ascii="Times New Roman" w:hAnsi="Times New Roman"/>
                            <w:sz w:val="20"/>
                          </w:rPr>
                          <w:t xml:space="preserve">Жүк вагондарын алып тастау және бөлу сәтіне дейін Сатып алушы оларды өтеусіз жауапты сақтауға қабылдайды. Сатушы жүк вагондарын </w:t>
                        </w:r>
                        <w:r w:rsidR="00C2038C">
                          <w:rPr>
                            <w:rFonts w:ascii="Times New Roman" w:hAnsi="Times New Roman"/>
                            <w:sz w:val="20"/>
                            <w:lang w:val="kk-KZ"/>
                          </w:rPr>
                          <w:t xml:space="preserve">есептен </w:t>
                        </w:r>
                        <w:r w:rsidR="00C2038C" w:rsidRPr="00C2038C">
                          <w:rPr>
                            <w:rFonts w:ascii="Times New Roman" w:hAnsi="Times New Roman"/>
                            <w:sz w:val="20"/>
                          </w:rPr>
                          <w:t xml:space="preserve">алып тастағаннан және Сатып алушыдан алдын ала төлем алғаннан кейiн оларды бөлшектеудi жүргiзу және қайтаруға жататын тораптар мен бөлшектердiң </w:t>
                        </w:r>
                        <w:r w:rsidR="00C2038C" w:rsidRPr="00C2038C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сақталуын қамтамасыз ету және қайтаруды жүзеге асыру. Тауар жүк вагондарын бөлшектеу процесiнде пайда болатын өңделмеген қара металл сынықтары түрiнде Сатып алушының меншiгiне берiледi.</w:t>
                        </w:r>
                      </w:p>
                      <w:p w14:paraId="6FD0E19D" w14:textId="51E50C1C" w:rsidR="00E95C82" w:rsidRPr="009E4526" w:rsidRDefault="00E95C82" w:rsidP="00186F82">
                        <w:pPr>
                          <w:ind w:right="-30" w:firstLine="38"/>
                          <w:contextualSpacing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 </w:t>
                        </w:r>
                        <w:r w:rsidR="00C2038C" w:rsidRPr="00C2038C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Қазақстан Республикасы аумағының шегінде Сатушы көрсеткен межелі пункттерге қайтарылатын қосалқы бөлшектерді, тораптар мен бөлшектерді тиеп жөнелтуді және жеткізуді ұйымдастыруға</w:t>
                        </w:r>
                        <w:r w:rsidRPr="009E4526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. </w:t>
                        </w:r>
                      </w:p>
                      <w:p w14:paraId="3B6C3986" w14:textId="469600FA" w:rsidR="00E95C82" w:rsidRPr="009E4526" w:rsidRDefault="00C2038C" w:rsidP="00E95C82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31"/>
                          <w:jc w:val="both"/>
                          <w:rPr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lang w:val="kk-KZ"/>
                          </w:rPr>
                          <w:t>С</w:t>
                        </w:r>
                        <w:r w:rsidRPr="00C2038C">
                          <w:rPr>
                            <w:rFonts w:ascii="Times New Roman" w:hAnsi="Times New Roman"/>
                            <w:sz w:val="20"/>
                          </w:rPr>
                          <w:t>ат</w:t>
                        </w:r>
                        <w:r w:rsidR="00934F3C">
                          <w:rPr>
                            <w:rFonts w:ascii="Times New Roman" w:hAnsi="Times New Roman"/>
                            <w:sz w:val="20"/>
                          </w:rPr>
                          <w:t>ып алушы</w:t>
                        </w:r>
                        <w:r w:rsidRPr="00C2038C">
                          <w:rPr>
                            <w:rFonts w:ascii="Times New Roman" w:hAnsi="Times New Roman"/>
                            <w:sz w:val="20"/>
                          </w:rPr>
                          <w:t xml:space="preserve"> Металл сынықтарын тиеуді, сұрыптауды, кесуді, өлшеуді және әкетуді өз күшімен және өз есебінен жүзеге асырады.</w:t>
                        </w:r>
                      </w:p>
                      <w:p w14:paraId="41E79C53" w14:textId="2E0D8B72" w:rsidR="00E95C82" w:rsidRPr="009E4526" w:rsidRDefault="00C2038C" w:rsidP="00186F82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C2038C">
                          <w:rPr>
                            <w:b/>
                            <w:bCs/>
                            <w:sz w:val="20"/>
                            <w:szCs w:val="20"/>
                          </w:rPr>
                          <w:t>Басқа шарттар</w:t>
                        </w:r>
                        <w:r w:rsidR="00E95C82" w:rsidRPr="009E4526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D650367" w14:textId="7D88F745" w:rsidR="00E95C82" w:rsidRPr="009E4526" w:rsidRDefault="00C2038C" w:rsidP="00E95C82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tabs>
                            <w:tab w:val="left" w:pos="310"/>
                          </w:tabs>
                          <w:ind w:left="0" w:firstLine="38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C2038C">
                          <w:rPr>
                            <w:sz w:val="20"/>
                            <w:szCs w:val="20"/>
                          </w:rPr>
                          <w:t>Металл сынықтарын тиеп жөнелту көлемi, орны мен мерзiмi, жүк вагондарын бөлу мерзiмi Сатушының Хабарламасы бойынша анықталады.</w:t>
                        </w:r>
                        <w:r w:rsidR="00E95C82" w:rsidRPr="009E452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57406BCB" w14:textId="7F5F0EC5" w:rsidR="00E95C82" w:rsidRPr="009E4526" w:rsidRDefault="00C2038C" w:rsidP="00E95C82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tabs>
                            <w:tab w:val="left" w:pos="310"/>
                          </w:tabs>
                          <w:ind w:left="0" w:firstLine="38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C2038C">
                          <w:rPr>
                            <w:sz w:val="20"/>
                            <w:szCs w:val="20"/>
                          </w:rPr>
                          <w:t>Тауарларды беру Шартқа қол қойылған күннен бастап 12 ай ішінде жүзеге асырылады.</w:t>
                        </w:r>
                      </w:p>
                    </w:tc>
                  </w:tr>
                  <w:tr w:rsidR="00E95C82" w:rsidRPr="009E4526" w14:paraId="32A34BC9" w14:textId="77777777" w:rsidTr="00345BC0">
                    <w:trPr>
                      <w:trHeight w:val="1402"/>
                    </w:trPr>
                    <w:tc>
                      <w:tcPr>
                        <w:tcW w:w="62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00D6DBA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E375602" w14:textId="254BBA3F" w:rsidR="00E95C82" w:rsidRPr="000F7A83" w:rsidRDefault="00E95C82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 «12А»</w:t>
                        </w:r>
                        <w:r w:rsidR="000F7A83"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 xml:space="preserve"> </w:t>
                        </w:r>
                        <w:r w:rsidR="000F7A83" w:rsidRPr="000F7A83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сыныпты металл сынықтары</w:t>
                        </w:r>
                      </w:p>
                    </w:tc>
                    <w:tc>
                      <w:tcPr>
                        <w:tcW w:w="185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BEB519C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A6A112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1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200</w:t>
                        </w:r>
                      </w:p>
                    </w:tc>
                    <w:tc>
                      <w:tcPr>
                        <w:tcW w:w="1515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C7DE962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88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56F3722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31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A2E7CD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E95C82" w:rsidRPr="009E4526" w14:paraId="7FD12543" w14:textId="77777777" w:rsidTr="00345BC0">
                    <w:trPr>
                      <w:trHeight w:val="1264"/>
                    </w:trPr>
                    <w:tc>
                      <w:tcPr>
                        <w:tcW w:w="62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D9F2D38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9696F6" w14:textId="69D01844" w:rsidR="00E95C82" w:rsidRPr="000F7A83" w:rsidRDefault="00E95C82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«16А»</w:t>
                        </w:r>
                        <w:r w:rsidR="000F7A83"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 xml:space="preserve"> </w:t>
                        </w:r>
                        <w:r w:rsidR="000F7A83" w:rsidRPr="000F7A83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сыныпты металл сынықтары</w:t>
                        </w:r>
                      </w:p>
                    </w:tc>
                    <w:tc>
                      <w:tcPr>
                        <w:tcW w:w="185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22A1823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3ECB61A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730</w:t>
                        </w:r>
                      </w:p>
                    </w:tc>
                    <w:tc>
                      <w:tcPr>
                        <w:tcW w:w="1515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B12F6E9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88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1971F0A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31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8E86AC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E95C82" w:rsidRPr="009E4526" w14:paraId="0B359510" w14:textId="77777777" w:rsidTr="00345BC0">
                    <w:trPr>
                      <w:trHeight w:val="1266"/>
                    </w:trPr>
                    <w:tc>
                      <w:tcPr>
                        <w:tcW w:w="62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8F6A33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E9E325" w14:textId="698EDF27" w:rsidR="00E95C82" w:rsidRPr="009E3FA6" w:rsidRDefault="000F7A83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Л</w:t>
                        </w:r>
                        <w:r w:rsidRPr="000F7A83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егирленген болат</w:t>
                        </w:r>
                      </w:p>
                    </w:tc>
                    <w:tc>
                      <w:tcPr>
                        <w:tcW w:w="185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CBBDA42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B0EB52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450</w:t>
                        </w:r>
                      </w:p>
                    </w:tc>
                    <w:tc>
                      <w:tcPr>
                        <w:tcW w:w="1515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407E5B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88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03C5389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31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55D6698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E95C82" w:rsidRPr="009E4526" w14:paraId="398FBA3F" w14:textId="77777777" w:rsidTr="00345BC0">
                    <w:trPr>
                      <w:trHeight w:val="1126"/>
                    </w:trPr>
                    <w:tc>
                      <w:tcPr>
                        <w:tcW w:w="62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1A43F63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52071C3" w14:textId="1A8771E8" w:rsidR="00E95C82" w:rsidRPr="003F781D" w:rsidRDefault="003F781D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</w:pP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М</w:t>
                        </w:r>
                        <w:r w:rsidRPr="003F781D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еталл сынықтарына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 аударыл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ған п</w:t>
                        </w:r>
                        <w:r w:rsidRPr="003F781D"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айдаланылған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 xml:space="preserve"> </w:t>
                        </w:r>
                        <w:r w:rsidRPr="003F781D"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дискілер мен осьтер</w:t>
                        </w:r>
                      </w:p>
                    </w:tc>
                    <w:tc>
                      <w:tcPr>
                        <w:tcW w:w="185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8B9138B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F2F7CD6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6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250</w:t>
                        </w:r>
                      </w:p>
                    </w:tc>
                    <w:tc>
                      <w:tcPr>
                        <w:tcW w:w="1515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BD4E034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88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0AA0927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31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62DE3F9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E95C82" w:rsidRPr="009E4526" w14:paraId="3800A9F0" w14:textId="77777777" w:rsidTr="00345BC0">
                    <w:trPr>
                      <w:trHeight w:val="1270"/>
                    </w:trPr>
                    <w:tc>
                      <w:tcPr>
                        <w:tcW w:w="62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9E8E737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6FB0B23" w14:textId="750A44E7" w:rsidR="00E95C82" w:rsidRPr="009E4526" w:rsidRDefault="003F781D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М</w:t>
                        </w:r>
                        <w:r w:rsidRPr="003F781D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еталл сынықтарына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 аударыл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ған п</w:t>
                        </w:r>
                        <w:r w:rsidRPr="003F781D"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айдаланылған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 xml:space="preserve"> </w:t>
                        </w:r>
                        <w:r w:rsidRPr="003F781D"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 xml:space="preserve">доңғалақ жұптары </w:t>
                        </w:r>
                      </w:p>
                    </w:tc>
                    <w:tc>
                      <w:tcPr>
                        <w:tcW w:w="185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E7159A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34B79E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4 008</w:t>
                        </w:r>
                      </w:p>
                    </w:tc>
                    <w:tc>
                      <w:tcPr>
                        <w:tcW w:w="1515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C752036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88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617C2C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31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AE5ABE7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E95C82" w:rsidRPr="009E4526" w14:paraId="69F510AD" w14:textId="77777777" w:rsidTr="00BC4F14">
                    <w:trPr>
                      <w:trHeight w:val="2496"/>
                    </w:trPr>
                    <w:tc>
                      <w:tcPr>
                        <w:tcW w:w="62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C84410B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8C00934" w14:textId="4ED04037" w:rsidR="00E95C82" w:rsidRPr="009E4526" w:rsidRDefault="006E182E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  <w:t>Есептен ш</w:t>
                        </w:r>
                        <w:r w:rsidRPr="006E182E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ығарылған жүк вагондарын бөлшектеу процесінде пайда болатын өңделмеген қара металл сынықтары (174 ваг. х 13 тн. (сынықтың орташа шығымы)</w:t>
                        </w:r>
                      </w:p>
                    </w:tc>
                    <w:tc>
                      <w:tcPr>
                        <w:tcW w:w="185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A2DF14D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F8ECF8C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2 262</w:t>
                        </w:r>
                      </w:p>
                    </w:tc>
                    <w:tc>
                      <w:tcPr>
                        <w:tcW w:w="1515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4BCE6A8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88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E988BC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631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2F55A3" w14:textId="77777777" w:rsidR="00E95C82" w:rsidRPr="009E4526" w:rsidRDefault="00E95C82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BC4F14" w:rsidRPr="009E4526" w14:paraId="17E5E766" w14:textId="77777777" w:rsidTr="00BC4F14">
                    <w:trPr>
                      <w:trHeight w:val="884"/>
                    </w:trPr>
                    <w:tc>
                      <w:tcPr>
                        <w:tcW w:w="627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262029" w14:textId="77777777" w:rsidR="00BC4F14" w:rsidRPr="009E4526" w:rsidRDefault="00BC4F14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9AC8E9F" w14:textId="77777777" w:rsidR="00BC4F14" w:rsidRDefault="00BC4F14" w:rsidP="00186F82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  <w:lang w:val="kk-KZ"/>
                          </w:rPr>
                        </w:pPr>
                      </w:p>
                    </w:tc>
                    <w:tc>
                      <w:tcPr>
                        <w:tcW w:w="185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BE85FC6" w14:textId="152A8959" w:rsidR="00BC4F14" w:rsidRPr="00BC4F14" w:rsidRDefault="00BC4F14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20"/>
                          </w:rPr>
                        </w:pPr>
                        <w:r w:rsidRPr="00BC4F14">
                          <w:rPr>
                            <w:rFonts w:ascii="Times New Roman" w:hAnsi="Times New Roman"/>
                            <w:b/>
                            <w:color w:val="000000"/>
                            <w:sz w:val="20"/>
                          </w:rPr>
                          <w:t>Б</w:t>
                        </w:r>
                        <w:r w:rsidRPr="00BC4F14">
                          <w:rPr>
                            <w:rFonts w:ascii="Times New Roman" w:hAnsi="Times New Roman"/>
                            <w:b/>
                            <w:color w:val="000000"/>
                            <w:sz w:val="20"/>
                            <w:lang w:val="kk-KZ"/>
                          </w:rPr>
                          <w:t>АРЛЫҒЫ: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CAF0BFE" w14:textId="04ECDCD4" w:rsidR="00BC4F14" w:rsidRPr="009E4526" w:rsidRDefault="00BC4F14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20 000</w:t>
                        </w:r>
                      </w:p>
                    </w:tc>
                    <w:tc>
                      <w:tcPr>
                        <w:tcW w:w="151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6BD9AD" w14:textId="302DACF9" w:rsidR="00BC4F14" w:rsidRPr="009E4526" w:rsidRDefault="00BC4F14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862 586 146</w:t>
                        </w:r>
                      </w:p>
                    </w:tc>
                    <w:tc>
                      <w:tcPr>
                        <w:tcW w:w="188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E8AA9DA" w14:textId="5CBD6E29" w:rsidR="00BC4F14" w:rsidRPr="009E4526" w:rsidRDefault="00BC4F14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129 387 922</w:t>
                        </w:r>
                      </w:p>
                    </w:tc>
                    <w:tc>
                      <w:tcPr>
                        <w:tcW w:w="5631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A2C82A" w14:textId="77777777" w:rsidR="00BC4F14" w:rsidRPr="009E4526" w:rsidRDefault="00BC4F14" w:rsidP="00186F82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14:paraId="798D9B1B" w14:textId="77777777" w:rsidR="00E95C82" w:rsidRPr="009E4526" w:rsidRDefault="00E95C82" w:rsidP="00186F82">
                  <w:pPr>
                    <w:jc w:val="center"/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488447FB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15CA34B0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  <w:tc>
                <w:tcPr>
                  <w:tcW w:w="400" w:type="dxa"/>
                </w:tcPr>
                <w:p w14:paraId="095408E0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  <w:tc>
                <w:tcPr>
                  <w:tcW w:w="305" w:type="dxa"/>
                </w:tcPr>
                <w:p w14:paraId="77E5310B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  <w:tc>
                <w:tcPr>
                  <w:tcW w:w="492" w:type="dxa"/>
                </w:tcPr>
                <w:p w14:paraId="2E9771A0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  <w:tc>
                <w:tcPr>
                  <w:tcW w:w="741" w:type="dxa"/>
                </w:tcPr>
                <w:p w14:paraId="02EEE012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  <w:tc>
                <w:tcPr>
                  <w:tcW w:w="741" w:type="dxa"/>
                </w:tcPr>
                <w:p w14:paraId="2116B6F5" w14:textId="77777777" w:rsidR="00E95C82" w:rsidRPr="009E4526" w:rsidRDefault="00E95C82" w:rsidP="00186F82">
                  <w:pPr>
                    <w:rPr>
                      <w:sz w:val="20"/>
                    </w:rPr>
                  </w:pPr>
                </w:p>
              </w:tc>
            </w:tr>
          </w:tbl>
          <w:p w14:paraId="5C99ECFE" w14:textId="77777777" w:rsidR="00E95C82" w:rsidRPr="009E4526" w:rsidRDefault="00E95C82" w:rsidP="00186F82">
            <w:pPr>
              <w:ind w:firstLine="709"/>
              <w:rPr>
                <w:rFonts w:ascii="Times New Roman" w:hAnsi="Times New Roman"/>
                <w:b/>
                <w:color w:val="222222"/>
                <w:sz w:val="20"/>
              </w:rPr>
            </w:pPr>
          </w:p>
        </w:tc>
      </w:tr>
    </w:tbl>
    <w:p w14:paraId="692E6B8C" w14:textId="77777777" w:rsidR="00BC4F14" w:rsidRDefault="00BC4F14" w:rsidP="00E95C82">
      <w:pPr>
        <w:ind w:firstLine="708"/>
        <w:rPr>
          <w:rFonts w:ascii="Times New Roman" w:hAnsi="Times New Roman"/>
          <w:color w:val="222222"/>
          <w:sz w:val="20"/>
        </w:rPr>
      </w:pPr>
    </w:p>
    <w:p w14:paraId="7A425719" w14:textId="694DCFEB" w:rsidR="00E95C82" w:rsidRPr="009E4526" w:rsidRDefault="00837608" w:rsidP="00E95C82">
      <w:pPr>
        <w:ind w:firstLine="708"/>
        <w:rPr>
          <w:rFonts w:ascii="Times New Roman" w:hAnsi="Times New Roman"/>
          <w:color w:val="222222"/>
          <w:sz w:val="20"/>
        </w:rPr>
      </w:pPr>
      <w:r w:rsidRPr="00837608">
        <w:rPr>
          <w:rFonts w:ascii="Times New Roman" w:hAnsi="Times New Roman"/>
          <w:color w:val="222222"/>
          <w:sz w:val="20"/>
        </w:rPr>
        <w:t>Сауда-саттыққа қатысушыларды тіркеу www.e-qazyna.kz тізілімінің веб-порталында хабарлама жарияланған күннен бастап тізілімнің веб-порталында жүргізіледі және сауда-саттық басталғанға дейін бес минут бұрын аяқталады.</w:t>
      </w:r>
    </w:p>
    <w:p w14:paraId="5E1446A7" w14:textId="0CA489E5" w:rsidR="00E95C82" w:rsidRPr="005F299E" w:rsidRDefault="00837608" w:rsidP="00E95C82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837608">
        <w:rPr>
          <w:rFonts w:ascii="Times New Roman" w:hAnsi="Times New Roman"/>
          <w:color w:val="222222"/>
          <w:sz w:val="20"/>
        </w:rPr>
        <w:t xml:space="preserve">Кепілдік жарналар «Ақпараттық-есепке алу орталығы» АҚ-ның: БСН: 050540004455, БСК: HSBKKZKX, ЖСК: KZ946017111000000330, «Қазақстан Халық Банкі» АҚ-ның шотына енгізіледі. Төлемнің мақсаты: </w:t>
      </w:r>
      <w:r w:rsidRPr="00837608">
        <w:rPr>
          <w:rFonts w:ascii="Times New Roman" w:hAnsi="Times New Roman"/>
          <w:b/>
          <w:bCs/>
          <w:color w:val="222222"/>
          <w:sz w:val="20"/>
        </w:rPr>
        <w:t>электрондық конкурсқа қатысу үшін кепілдік жарна</w:t>
      </w:r>
      <w:r w:rsidRPr="00837608">
        <w:rPr>
          <w:rFonts w:ascii="Times New Roman" w:hAnsi="Times New Roman"/>
          <w:color w:val="222222"/>
          <w:sz w:val="20"/>
        </w:rPr>
        <w:t xml:space="preserve"> (кепілдік жарна мөлшеріне банк қызметтеріне ақы төлеу кірмейді).</w:t>
      </w:r>
      <w:r w:rsidR="00E95C82" w:rsidRPr="005F299E">
        <w:rPr>
          <w:rFonts w:ascii="Times New Roman" w:hAnsi="Times New Roman"/>
          <w:color w:val="222222"/>
          <w:sz w:val="20"/>
        </w:rPr>
        <w:t xml:space="preserve"> </w:t>
      </w:r>
    </w:p>
    <w:p w14:paraId="4AE75626" w14:textId="353CB65D" w:rsidR="00E95C82" w:rsidRPr="005F299E" w:rsidRDefault="00AE473C" w:rsidP="00E95C82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AE473C">
        <w:rPr>
          <w:rFonts w:ascii="Times New Roman" w:hAnsi="Times New Roman"/>
          <w:sz w:val="20"/>
        </w:rPr>
        <w:t>Банк кепілдігі кепілдік жарна ретінде қабылданбайды.</w:t>
      </w:r>
    </w:p>
    <w:p w14:paraId="27E0D5B5" w14:textId="2B84DC1A" w:rsidR="00E95C82" w:rsidRPr="005F299E" w:rsidRDefault="00AE473C" w:rsidP="00E95C82">
      <w:pPr>
        <w:ind w:firstLine="709"/>
        <w:jc w:val="both"/>
        <w:rPr>
          <w:rFonts w:ascii="Times New Roman" w:hAnsi="Times New Roman"/>
          <w:b/>
          <w:color w:val="222222"/>
          <w:sz w:val="20"/>
        </w:rPr>
      </w:pPr>
      <w:r w:rsidRPr="00AE473C">
        <w:rPr>
          <w:rFonts w:ascii="Times New Roman" w:hAnsi="Times New Roman"/>
          <w:b/>
          <w:color w:val="222222"/>
          <w:sz w:val="20"/>
        </w:rPr>
        <w:t>Ақпараттық-есепке алу орталығы» АҚ шотына кепілдік жарналардың уақтылы түсуі мақсатында өтінімдерді қабылдау аяқталғанға дейін үш күннен кешіктірмей кепілдік жарнаны төлеу ұсынылады.</w:t>
      </w:r>
    </w:p>
    <w:p w14:paraId="5A19B465" w14:textId="77777777" w:rsidR="00AE473C" w:rsidRPr="00AE473C" w:rsidRDefault="00AE473C" w:rsidP="00AE473C">
      <w:pPr>
        <w:ind w:firstLine="709"/>
        <w:jc w:val="both"/>
        <w:rPr>
          <w:rFonts w:ascii="Times New Roman" w:hAnsi="Times New Roman"/>
          <w:color w:val="000000"/>
          <w:sz w:val="20"/>
        </w:rPr>
      </w:pPr>
      <w:r w:rsidRPr="00AE473C">
        <w:rPr>
          <w:rFonts w:ascii="Times New Roman" w:hAnsi="Times New Roman"/>
          <w:color w:val="000000"/>
          <w:sz w:val="20"/>
        </w:rPr>
        <w:t>Сауда-саттықта жеңiп шыққан қатысушы сауда-саттықтың нәтижелерi туралы хаттамаға қол қоймаған жағдайда сатушы кепiлдiк жарнаны қайтармайды.</w:t>
      </w:r>
    </w:p>
    <w:p w14:paraId="1F9548D3" w14:textId="2010CFB8" w:rsidR="00E95C82" w:rsidRPr="005F299E" w:rsidRDefault="00AE473C" w:rsidP="00AE473C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AE473C">
        <w:rPr>
          <w:rFonts w:ascii="Times New Roman" w:hAnsi="Times New Roman"/>
          <w:color w:val="000000"/>
          <w:sz w:val="20"/>
        </w:rPr>
        <w:t>Сауда-саттық нәтижелері туралы хаттама электрондық конкурстың нәтижелерін және жеңімпаз бен сатушының қара металл сынықтары мен қалдықтарын сату бағасы бойынша сату туралы шартқа қол қою міндеттемелерін тіркейтін құжат болып табылады.</w:t>
      </w:r>
    </w:p>
    <w:p w14:paraId="3D17849E" w14:textId="29FDD81B" w:rsidR="00E95C82" w:rsidRPr="005F299E" w:rsidRDefault="00AE473C" w:rsidP="00E95C82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AE473C">
        <w:rPr>
          <w:rFonts w:ascii="Times New Roman" w:hAnsi="Times New Roman"/>
          <w:color w:val="222222"/>
          <w:sz w:val="20"/>
        </w:rPr>
        <w:t>Электрондық конкурсты өткізу тәртібі, сауда-саттыққа қатысуды ресімдеу тәртібі, Жеңімпазды анықтау шарттары туралы ережелермен «Қазтеміртранс» АҚ www.qaztt.kz және www.e-qazyna.kz сайттарында көпшілікке қолжетімді Регламентте және Сату ережелерінде танысуға болады.</w:t>
      </w:r>
      <w:r w:rsidR="00E95C82" w:rsidRPr="005F299E">
        <w:rPr>
          <w:rFonts w:ascii="Times New Roman" w:hAnsi="Times New Roman"/>
          <w:color w:val="222222"/>
          <w:sz w:val="20"/>
        </w:rPr>
        <w:t xml:space="preserve"> </w:t>
      </w:r>
    </w:p>
    <w:p w14:paraId="38C86CE1" w14:textId="7DD1B8D1" w:rsidR="00AE473C" w:rsidRPr="00AE473C" w:rsidRDefault="00AE473C" w:rsidP="00AE473C">
      <w:pPr>
        <w:ind w:firstLine="709"/>
        <w:jc w:val="both"/>
        <w:rPr>
          <w:rFonts w:ascii="Times New Roman" w:hAnsi="Times New Roman"/>
          <w:color w:val="222222"/>
          <w:sz w:val="20"/>
          <w:lang w:val="kk-KZ"/>
        </w:rPr>
      </w:pPr>
      <w:r w:rsidRPr="00AE473C">
        <w:rPr>
          <w:rFonts w:ascii="Times New Roman" w:hAnsi="Times New Roman"/>
          <w:color w:val="222222"/>
          <w:sz w:val="20"/>
          <w:lang w:val="kk-KZ"/>
        </w:rPr>
        <w:t xml:space="preserve">Металл сынықтарын сату туралы шарттардың үлгілік нысандары «Қазтеміртранс» АҚ </w:t>
      </w:r>
      <w:hyperlink r:id="rId5" w:history="1">
        <w:r w:rsidRPr="00716D7D">
          <w:rPr>
            <w:rStyle w:val="ac"/>
            <w:rFonts w:ascii="Times New Roman" w:hAnsi="Times New Roman"/>
            <w:sz w:val="20"/>
            <w:lang w:val="kk-KZ"/>
          </w:rPr>
          <w:t>www.qaztt.kz</w:t>
        </w:r>
      </w:hyperlink>
      <w:r>
        <w:rPr>
          <w:rFonts w:ascii="Times New Roman" w:hAnsi="Times New Roman"/>
          <w:color w:val="222222"/>
          <w:sz w:val="20"/>
          <w:lang w:val="kk-KZ"/>
        </w:rPr>
        <w:t xml:space="preserve"> </w:t>
      </w:r>
      <w:r w:rsidRPr="00AE473C">
        <w:rPr>
          <w:rFonts w:ascii="Times New Roman" w:hAnsi="Times New Roman"/>
          <w:color w:val="222222"/>
          <w:sz w:val="20"/>
          <w:lang w:val="kk-KZ"/>
        </w:rPr>
        <w:t xml:space="preserve">ресми сайтында орналасқан </w:t>
      </w:r>
    </w:p>
    <w:p w14:paraId="348EB67A" w14:textId="5F36D50C" w:rsidR="00E95C82" w:rsidRPr="00804156" w:rsidRDefault="00AE473C" w:rsidP="00E95C82">
      <w:pPr>
        <w:ind w:firstLine="709"/>
        <w:jc w:val="both"/>
        <w:rPr>
          <w:rFonts w:ascii="Times New Roman" w:hAnsi="Times New Roman"/>
          <w:sz w:val="20"/>
          <w:lang w:val="kk-KZ"/>
        </w:rPr>
      </w:pPr>
      <w:r w:rsidRPr="00AE473C">
        <w:rPr>
          <w:rFonts w:ascii="Times New Roman" w:hAnsi="Times New Roman"/>
          <w:color w:val="222222"/>
          <w:sz w:val="20"/>
          <w:lang w:val="kk-KZ"/>
        </w:rPr>
        <w:t xml:space="preserve">Сауда-саттықты өткізу туралы қосымша ақпаратты www.e-qazyna.kz сайтынан қарауға немесе 8 (7172) 552981 («АЕО» АҚ) және </w:t>
      </w:r>
      <w:r w:rsidR="00804156" w:rsidRPr="00AE473C">
        <w:rPr>
          <w:rFonts w:ascii="Times New Roman" w:hAnsi="Times New Roman"/>
          <w:color w:val="222222"/>
          <w:sz w:val="20"/>
          <w:lang w:val="kk-KZ"/>
        </w:rPr>
        <w:t>Қазтеміртранс» АҚ Вагон паркі департаментінің металл сынықтарын есепке алу және сату тобын</w:t>
      </w:r>
      <w:r w:rsidR="00804156">
        <w:rPr>
          <w:rFonts w:ascii="Times New Roman" w:hAnsi="Times New Roman"/>
          <w:color w:val="222222"/>
          <w:sz w:val="20"/>
          <w:lang w:val="kk-KZ"/>
        </w:rPr>
        <w:t>ың</w:t>
      </w:r>
      <w:r w:rsidR="00804156" w:rsidRPr="00AE473C">
        <w:rPr>
          <w:rFonts w:ascii="Times New Roman" w:hAnsi="Times New Roman"/>
          <w:color w:val="222222"/>
          <w:sz w:val="20"/>
          <w:lang w:val="kk-KZ"/>
        </w:rPr>
        <w:t xml:space="preserve"> </w:t>
      </w:r>
      <w:r w:rsidRPr="00AE473C">
        <w:rPr>
          <w:rFonts w:ascii="Times New Roman" w:hAnsi="Times New Roman"/>
          <w:color w:val="222222"/>
          <w:sz w:val="20"/>
          <w:lang w:val="kk-KZ"/>
        </w:rPr>
        <w:t xml:space="preserve">Бас менеджері </w:t>
      </w:r>
      <w:r w:rsidR="00804156">
        <w:rPr>
          <w:rFonts w:ascii="Times New Roman" w:hAnsi="Times New Roman"/>
          <w:color w:val="222222"/>
          <w:sz w:val="20"/>
          <w:lang w:val="kk-KZ"/>
        </w:rPr>
        <w:t>Джу</w:t>
      </w:r>
      <w:r w:rsidRPr="00AE473C">
        <w:rPr>
          <w:rFonts w:ascii="Times New Roman" w:hAnsi="Times New Roman"/>
          <w:color w:val="222222"/>
          <w:sz w:val="20"/>
          <w:lang w:val="kk-KZ"/>
        </w:rPr>
        <w:t>нубаева Гаухар Ке</w:t>
      </w:r>
      <w:r w:rsidR="00804156">
        <w:rPr>
          <w:rFonts w:ascii="Times New Roman" w:hAnsi="Times New Roman"/>
          <w:color w:val="222222"/>
          <w:sz w:val="20"/>
          <w:lang w:val="kk-KZ"/>
        </w:rPr>
        <w:t xml:space="preserve">несовнадан  </w:t>
      </w:r>
      <w:r w:rsidR="00804156" w:rsidRPr="00AE473C">
        <w:rPr>
          <w:rFonts w:ascii="Times New Roman" w:hAnsi="Times New Roman"/>
          <w:color w:val="222222"/>
          <w:sz w:val="20"/>
          <w:lang w:val="kk-KZ"/>
        </w:rPr>
        <w:t>8 (771) 083-34-51</w:t>
      </w:r>
      <w:r w:rsidRPr="00AE473C">
        <w:rPr>
          <w:rFonts w:ascii="Times New Roman" w:hAnsi="Times New Roman"/>
          <w:color w:val="222222"/>
          <w:sz w:val="20"/>
          <w:lang w:val="kk-KZ"/>
        </w:rPr>
        <w:t xml:space="preserve">, </w:t>
      </w:r>
      <w:r w:rsidR="00804156">
        <w:rPr>
          <w:rFonts w:ascii="Times New Roman" w:hAnsi="Times New Roman"/>
          <w:color w:val="222222"/>
          <w:sz w:val="20"/>
          <w:lang w:val="kk-KZ"/>
        </w:rPr>
        <w:t>Менеджер Абдых</w:t>
      </w:r>
      <w:r w:rsidRPr="00AE473C">
        <w:rPr>
          <w:rFonts w:ascii="Times New Roman" w:hAnsi="Times New Roman"/>
          <w:color w:val="222222"/>
          <w:sz w:val="20"/>
          <w:lang w:val="kk-KZ"/>
        </w:rPr>
        <w:t>анов Айдын С</w:t>
      </w:r>
      <w:r w:rsidR="00804156">
        <w:rPr>
          <w:rFonts w:ascii="Times New Roman" w:hAnsi="Times New Roman"/>
          <w:color w:val="222222"/>
          <w:sz w:val="20"/>
          <w:lang w:val="kk-KZ"/>
        </w:rPr>
        <w:t xml:space="preserve">ултанович </w:t>
      </w:r>
      <w:r w:rsidR="00804156" w:rsidRPr="00AE473C">
        <w:rPr>
          <w:rFonts w:ascii="Times New Roman" w:hAnsi="Times New Roman"/>
          <w:color w:val="222222"/>
          <w:sz w:val="20"/>
          <w:lang w:val="kk-KZ"/>
        </w:rPr>
        <w:t>8 (775) 215-47-43</w:t>
      </w:r>
      <w:r w:rsidR="00804156">
        <w:rPr>
          <w:rFonts w:ascii="Times New Roman" w:hAnsi="Times New Roman"/>
          <w:color w:val="222222"/>
          <w:sz w:val="20"/>
          <w:lang w:val="kk-KZ"/>
        </w:rPr>
        <w:t xml:space="preserve"> </w:t>
      </w:r>
      <w:r w:rsidRPr="00AE473C">
        <w:rPr>
          <w:rFonts w:ascii="Times New Roman" w:hAnsi="Times New Roman"/>
          <w:color w:val="222222"/>
          <w:sz w:val="20"/>
          <w:lang w:val="kk-KZ"/>
        </w:rPr>
        <w:t>алуға болады.</w:t>
      </w:r>
    </w:p>
    <w:p w14:paraId="61FB42A1" w14:textId="77777777" w:rsidR="00E95C82" w:rsidRPr="00804156" w:rsidRDefault="00E95C82" w:rsidP="00E95C8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750E870E" w14:textId="77777777" w:rsidR="003677EF" w:rsidRPr="00804156" w:rsidRDefault="003677EF">
      <w:pPr>
        <w:rPr>
          <w:lang w:val="kk-KZ"/>
        </w:rPr>
      </w:pPr>
    </w:p>
    <w:sectPr w:rsidR="003677EF" w:rsidRPr="00804156" w:rsidSect="00E95C82">
      <w:pgSz w:w="16838" w:h="11906" w:orient="landscape"/>
      <w:pgMar w:top="851" w:right="1134" w:bottom="1701" w:left="454" w:header="709" w:footer="709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22.01.2026 14:01 Калиев Руслан Султанови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76CB3"/>
    <w:multiLevelType w:val="hybridMultilevel"/>
    <w:tmpl w:val="B1709F08"/>
    <w:lvl w:ilvl="0" w:tplc="3D7ABB16">
      <w:start w:val="1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6CF"/>
    <w:multiLevelType w:val="hybridMultilevel"/>
    <w:tmpl w:val="EEF2511E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FAC4743"/>
    <w:multiLevelType w:val="hybridMultilevel"/>
    <w:tmpl w:val="19B21E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988627">
    <w:abstractNumId w:val="1"/>
  </w:num>
  <w:num w:numId="2" w16cid:durableId="2078899372">
    <w:abstractNumId w:val="0"/>
  </w:num>
  <w:num w:numId="3" w16cid:durableId="898592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497"/>
    <w:rsid w:val="000D203C"/>
    <w:rsid w:val="000D7008"/>
    <w:rsid w:val="000F7A83"/>
    <w:rsid w:val="0012661D"/>
    <w:rsid w:val="00156AFD"/>
    <w:rsid w:val="00171FC3"/>
    <w:rsid w:val="001A5C56"/>
    <w:rsid w:val="00222118"/>
    <w:rsid w:val="00243794"/>
    <w:rsid w:val="0025157B"/>
    <w:rsid w:val="00287C49"/>
    <w:rsid w:val="00293749"/>
    <w:rsid w:val="002A1B16"/>
    <w:rsid w:val="002E3AA6"/>
    <w:rsid w:val="00345BC0"/>
    <w:rsid w:val="003677EF"/>
    <w:rsid w:val="003F781D"/>
    <w:rsid w:val="00411BC4"/>
    <w:rsid w:val="00486181"/>
    <w:rsid w:val="00526D58"/>
    <w:rsid w:val="00582F56"/>
    <w:rsid w:val="005A5D7A"/>
    <w:rsid w:val="005F0497"/>
    <w:rsid w:val="00663E18"/>
    <w:rsid w:val="006C175D"/>
    <w:rsid w:val="006E182E"/>
    <w:rsid w:val="00780C96"/>
    <w:rsid w:val="00804156"/>
    <w:rsid w:val="00837608"/>
    <w:rsid w:val="00934F3C"/>
    <w:rsid w:val="009E3FA6"/>
    <w:rsid w:val="00A72F32"/>
    <w:rsid w:val="00AE473C"/>
    <w:rsid w:val="00B47F6D"/>
    <w:rsid w:val="00BC4F14"/>
    <w:rsid w:val="00C2038C"/>
    <w:rsid w:val="00CE25F6"/>
    <w:rsid w:val="00D617C7"/>
    <w:rsid w:val="00E95C82"/>
    <w:rsid w:val="00F7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0A4D"/>
  <w15:chartTrackingRefBased/>
  <w15:docId w15:val="{8F37C188-4015-43BE-84F4-9F99D1185EBF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95C82"/>
    <w:pPr>
      <w:spacing w:after="0" w:line="240" w:lineRule="auto"/>
    </w:pPr>
    <w:rPr>
      <w:rFonts w:ascii="Calibri" w:eastAsia="Times New Roman" w:hAnsi="Calibri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F04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04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4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4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04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4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04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04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04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4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04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04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049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049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04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04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04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04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04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F0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04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0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04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04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04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049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04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049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F0497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unhideWhenUsed/>
    <w:rsid w:val="00E95C82"/>
    <w:rPr>
      <w:color w:val="0000FF"/>
      <w:u w:val="single"/>
    </w:rPr>
  </w:style>
  <w:style w:type="paragraph" w:customStyle="1" w:styleId="Default">
    <w:name w:val="Default"/>
    <w:rsid w:val="00E95C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styleId="ad">
    <w:name w:val="Unresolved Mention"/>
    <w:basedOn w:val="a0"/>
    <w:uiPriority w:val="99"/>
    <w:semiHidden/>
    <w:unhideWhenUsed/>
    <w:rsid w:val="00AE47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qaztt.kz" TargetMode="External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Айдын С. Абдыханов</dc:creator>
  <cp:keywords/>
  <dc:description/>
  <cp:lastModifiedBy>Айдын С. Абдыханов</cp:lastModifiedBy>
  <cp:revision>32</cp:revision>
  <dcterms:created xsi:type="dcterms:W3CDTF">2026-01-20T11:40:00Z</dcterms:created>
  <dcterms:modified xsi:type="dcterms:W3CDTF">2026-01-21T11:48:00Z</dcterms:modified>
</cp:coreProperties>
</file>