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01B" w:rsidRPr="00EF22EB" w:rsidRDefault="004F001B" w:rsidP="008A5B0A">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4F001B" w:rsidP="008E6424">
      <w:pPr>
        <w:spacing w:after="0" w:line="240" w:lineRule="auto"/>
        <w:jc w:val="center"/>
        <w:rPr>
          <w:rFonts w:ascii="Times New Roman" w:hAnsi="Times New Roman"/>
          <w:b/>
          <w:sz w:val="28"/>
          <w:szCs w:val="28"/>
        </w:rPr>
      </w:pPr>
      <w:r>
        <w:rPr>
          <w:rFonts w:ascii="Times New Roman" w:hAnsi="Times New Roman"/>
          <w:b/>
          <w:sz w:val="28"/>
          <w:szCs w:val="28"/>
        </w:rPr>
        <w:t>моторлы көлік құралдарына техникалық қызмет көрсету және жөндеу жөніндегі жұмыстар үшін</w:t>
      </w:r>
      <w:r w:rsidR="008E6424" w:rsidRPr="00F63B1D">
        <w:rPr>
          <w:rFonts w:ascii="Times New Roman" w:hAnsi="Times New Roman"/>
          <w:b/>
          <w:sz w:val="28"/>
          <w:szCs w:val="28"/>
        </w:rPr>
        <w:t xml:space="preserve">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4F001B">
        <w:rPr>
          <w:rFonts w:ascii="Times New Roman" w:hAnsi="Times New Roman"/>
          <w:b/>
          <w:sz w:val="28"/>
          <w:szCs w:val="28"/>
          <w:lang w:val="kk-KZ"/>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4F001B" w:rsidRDefault="004F001B" w:rsidP="001C1173">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4F001B"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4F001B"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14747B"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9F0682" w:rsidRDefault="009F0682" w:rsidP="001C1173">
            <w:p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Жұмыстың сипаттамасы</w:t>
            </w:r>
          </w:p>
        </w:tc>
        <w:tc>
          <w:tcPr>
            <w:tcW w:w="5131" w:type="dxa"/>
            <w:tcBorders>
              <w:top w:val="nil"/>
              <w:left w:val="nil"/>
              <w:bottom w:val="single" w:sz="4" w:space="0" w:color="auto"/>
              <w:right w:val="single" w:sz="4" w:space="0" w:color="auto"/>
            </w:tcBorders>
            <w:shd w:val="clear" w:color="auto" w:fill="auto"/>
            <w:vAlign w:val="center"/>
          </w:tcPr>
          <w:p w:rsidR="009F0682" w:rsidRPr="009F0682" w:rsidRDefault="009F0682" w:rsidP="009F0682">
            <w:pPr>
              <w:spacing w:after="0" w:line="240" w:lineRule="auto"/>
              <w:rPr>
                <w:rFonts w:ascii="Times New Roman" w:hAnsi="Times New Roman"/>
                <w:bCs/>
                <w:sz w:val="28"/>
                <w:szCs w:val="28"/>
                <w:lang w:val="kk-KZ"/>
              </w:rPr>
            </w:pPr>
            <w:r w:rsidRPr="009F0682">
              <w:rPr>
                <w:rFonts w:ascii="Times New Roman" w:hAnsi="Times New Roman"/>
                <w:bCs/>
                <w:sz w:val="28"/>
                <w:szCs w:val="28"/>
                <w:lang w:val="kk-KZ"/>
              </w:rPr>
              <w:t xml:space="preserve">Автокөлік құралдарына техникалық қызмет көрсету және жөндеу </w:t>
            </w:r>
          </w:p>
          <w:p w:rsidR="00795176" w:rsidRPr="009F0682" w:rsidRDefault="009F0682" w:rsidP="001C1173">
            <w:pPr>
              <w:spacing w:after="0" w:line="240" w:lineRule="auto"/>
              <w:jc w:val="both"/>
              <w:rPr>
                <w:rFonts w:ascii="Times New Roman" w:hAnsi="Times New Roman"/>
                <w:color w:val="000000"/>
                <w:sz w:val="28"/>
                <w:szCs w:val="28"/>
                <w:lang w:val="kk-KZ"/>
              </w:rPr>
            </w:pPr>
            <w:r w:rsidRPr="009F0682">
              <w:rPr>
                <w:rFonts w:ascii="Times New Roman" w:hAnsi="Times New Roman"/>
                <w:color w:val="000000"/>
                <w:sz w:val="28"/>
                <w:szCs w:val="28"/>
                <w:lang w:val="kk-KZ"/>
              </w:rPr>
              <w:t xml:space="preserve">3 </w:t>
            </w:r>
            <w:r w:rsidR="0014747B">
              <w:rPr>
                <w:rFonts w:ascii="Times New Roman" w:hAnsi="Times New Roman"/>
                <w:color w:val="000000"/>
                <w:sz w:val="28"/>
                <w:szCs w:val="28"/>
                <w:lang w:val="kk-KZ"/>
              </w:rPr>
              <w:t>дана</w:t>
            </w:r>
          </w:p>
          <w:p w:rsidR="00795176" w:rsidRPr="009F0682" w:rsidRDefault="00B07137" w:rsidP="001C1173">
            <w:pPr>
              <w:spacing w:after="0" w:line="240" w:lineRule="auto"/>
              <w:jc w:val="both"/>
              <w:rPr>
                <w:rFonts w:ascii="Times New Roman" w:hAnsi="Times New Roman"/>
                <w:color w:val="000000"/>
                <w:sz w:val="28"/>
                <w:szCs w:val="28"/>
                <w:lang w:val="kk-KZ"/>
              </w:rPr>
            </w:pPr>
            <w:r w:rsidRPr="009F0682">
              <w:rPr>
                <w:rFonts w:ascii="Times New Roman" w:hAnsi="Times New Roman"/>
                <w:color w:val="000000"/>
                <w:sz w:val="28"/>
                <w:szCs w:val="28"/>
                <w:lang w:val="kk-KZ"/>
              </w:rPr>
              <w:t xml:space="preserve">ГАЗ </w:t>
            </w:r>
            <w:r w:rsidR="00073290" w:rsidRPr="009F0682">
              <w:rPr>
                <w:rFonts w:ascii="Times New Roman" w:hAnsi="Times New Roman"/>
                <w:color w:val="000000"/>
                <w:sz w:val="28"/>
                <w:szCs w:val="28"/>
                <w:lang w:val="kk-KZ"/>
              </w:rPr>
              <w:t xml:space="preserve">5204-3 </w:t>
            </w:r>
            <w:r w:rsidR="009F0682">
              <w:rPr>
                <w:rFonts w:ascii="Times New Roman" w:hAnsi="Times New Roman"/>
                <w:color w:val="000000"/>
                <w:sz w:val="28"/>
                <w:szCs w:val="28"/>
                <w:lang w:val="kk-KZ"/>
              </w:rPr>
              <w:t xml:space="preserve">бірлік </w:t>
            </w:r>
            <w:r w:rsidR="008E6424" w:rsidRPr="009F0682">
              <w:rPr>
                <w:rFonts w:ascii="Times New Roman" w:hAnsi="Times New Roman"/>
                <w:color w:val="000000"/>
                <w:sz w:val="28"/>
                <w:szCs w:val="28"/>
                <w:lang w:val="kk-KZ"/>
              </w:rPr>
              <w:t>(</w:t>
            </w:r>
            <w:r w:rsidR="00FB3CB1" w:rsidRPr="009F0682">
              <w:rPr>
                <w:rFonts w:ascii="Times New Roman" w:hAnsi="Times New Roman"/>
                <w:color w:val="000000"/>
                <w:sz w:val="28"/>
                <w:szCs w:val="28"/>
                <w:lang w:val="kk-KZ"/>
              </w:rPr>
              <w:t>П</w:t>
            </w:r>
            <w:r w:rsidR="008E6424" w:rsidRPr="009F0682">
              <w:rPr>
                <w:rFonts w:ascii="Times New Roman" w:hAnsi="Times New Roman"/>
                <w:color w:val="000000"/>
                <w:sz w:val="28"/>
                <w:szCs w:val="28"/>
                <w:lang w:val="kk-KZ"/>
              </w:rPr>
              <w:t>Ч</w:t>
            </w:r>
            <w:r w:rsidR="00654EC8" w:rsidRPr="009F0682">
              <w:rPr>
                <w:rFonts w:ascii="Times New Roman" w:hAnsi="Times New Roman"/>
                <w:color w:val="000000"/>
                <w:sz w:val="28"/>
                <w:szCs w:val="28"/>
                <w:lang w:val="kk-KZ"/>
              </w:rPr>
              <w:t>-</w:t>
            </w:r>
            <w:r w:rsidR="00FB3CB1" w:rsidRPr="009F0682">
              <w:rPr>
                <w:rFonts w:ascii="Times New Roman" w:hAnsi="Times New Roman"/>
                <w:color w:val="000000"/>
                <w:sz w:val="28"/>
                <w:szCs w:val="28"/>
                <w:lang w:val="kk-KZ"/>
              </w:rPr>
              <w:t>3</w:t>
            </w:r>
            <w:r w:rsidR="008E6424" w:rsidRPr="009F0682">
              <w:rPr>
                <w:rFonts w:ascii="Times New Roman" w:hAnsi="Times New Roman"/>
                <w:color w:val="000000"/>
                <w:sz w:val="28"/>
                <w:szCs w:val="28"/>
                <w:lang w:val="kk-KZ"/>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8A3287"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9F0682"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9F0682"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9F0682"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8A3287"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8A3287"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8A3287"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8A3287"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8A3287"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8A3287"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8A3287"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8A3287"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77668C" w:rsidRDefault="008A3287" w:rsidP="0077668C">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Ұшқын штепсельдік қосқыштарды ауыстыру</w:t>
            </w:r>
          </w:p>
          <w:p w:rsidR="0077668C" w:rsidRDefault="008A3287" w:rsidP="0077668C">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Жоғары вольтты сымдарды ауыстыру</w:t>
            </w:r>
          </w:p>
          <w:p w:rsidR="0077668C" w:rsidRPr="008E6424" w:rsidRDefault="008A3287" w:rsidP="0077668C">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Май, отын, ауа сүзгілерін ауыстыру</w:t>
            </w:r>
          </w:p>
          <w:p w:rsidR="00AC0736" w:rsidRPr="00723CE1" w:rsidRDefault="008A3287"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w:t>
            </w:r>
            <w:r w:rsidR="0014747B">
              <w:rPr>
                <w:rFonts w:ascii="Times New Roman" w:hAnsi="Times New Roman"/>
                <w:sz w:val="28"/>
                <w:szCs w:val="28"/>
              </w:rPr>
              <w:t>4</w:t>
            </w:r>
            <w:bookmarkStart w:id="1" w:name="_GoBack"/>
            <w:bookmarkEnd w:id="1"/>
            <w:r w:rsidRPr="00723CE1">
              <w:rPr>
                <w:rFonts w:ascii="Times New Roman" w:hAnsi="Times New Roman"/>
                <w:sz w:val="28"/>
                <w:szCs w:val="28"/>
              </w:rPr>
              <w:t>-ке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8A3287"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8A3287"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8A3287"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8A3287"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w:t>
            </w:r>
            <w:r w:rsidRPr="00723CE1">
              <w:rPr>
                <w:rFonts w:ascii="Times New Roman" w:hAnsi="Times New Roman"/>
                <w:sz w:val="28"/>
                <w:szCs w:val="28"/>
              </w:rPr>
              <w:lastRenderedPageBreak/>
              <w:t>арналған көлік құралдарын шығару және 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rsidR="00AC0736" w:rsidRPr="00F63B1D" w:rsidRDefault="008A3287"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8A3287"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8A3287"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8A3287"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8A3287"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8A3287"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8A3287"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8A3287"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8A3287"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8A3287"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8A3287"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73290"/>
    <w:rsid w:val="0014747B"/>
    <w:rsid w:val="001C1173"/>
    <w:rsid w:val="00247B19"/>
    <w:rsid w:val="00395DE6"/>
    <w:rsid w:val="004F001B"/>
    <w:rsid w:val="00654EC8"/>
    <w:rsid w:val="006873AF"/>
    <w:rsid w:val="0077668C"/>
    <w:rsid w:val="00795176"/>
    <w:rsid w:val="007E5C93"/>
    <w:rsid w:val="008A3287"/>
    <w:rsid w:val="008E6424"/>
    <w:rsid w:val="00973806"/>
    <w:rsid w:val="009B070D"/>
    <w:rsid w:val="009F0682"/>
    <w:rsid w:val="00AC0736"/>
    <w:rsid w:val="00B07137"/>
    <w:rsid w:val="00D42560"/>
    <w:rsid w:val="00E847F7"/>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CA340"/>
  <w15:docId w15:val="{B0353F6F-B7BD-4F6D-A631-7C1799C7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Айжан И. Муфтеева</cp:lastModifiedBy>
  <cp:revision>19</cp:revision>
  <cp:lastPrinted>2023-02-28T11:18:00Z</cp:lastPrinted>
  <dcterms:created xsi:type="dcterms:W3CDTF">2022-03-02T04:36:00Z</dcterms:created>
  <dcterms:modified xsi:type="dcterms:W3CDTF">2024-03-19T09:26:00Z</dcterms:modified>
</cp:coreProperties>
</file>